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w:t>
      </w:r>
    </w:p>
    <w:p>
      <w:r>
        <w:t>Bundesgericht (BGE), 1974-05-10, DE</w:t>
      </w:r>
    </w:p>
    <w:p>
      <w:r>
        <w:rPr>
          <w:b/>
        </w:rPr>
        <w:t xml:space="preserve">Quelle: </w:t>
      </w:r>
      <w:r>
        <w:t>https://mcp.opencaselaw.ch/entscheid/bge_100 IV 27</w:t>
      </w:r>
    </w:p>
    <w:p>
      <w:r>
        <w:t>FR: ATF 100 IV 27</w:t>
      </w:r>
    </w:p>
    <w:p>
      <w:r>
        <w:t>IT: DTF 100 IV 27</w:t>
      </w:r>
    </w:p>
    <w:p>
      <w:pPr>
        <w:pStyle w:val="Heading2"/>
      </w:pPr>
      <w:r>
        <w:t>Regeste</w:t>
      </w:r>
    </w:p>
    <w:p>
      <w:r>
        <w:t>Regeste Art. 139 Ziff. 2 Abs. 4, Raub. Die besondere Gefährlichkeit des Täters kann sich nicht nur aus den Tatumständen ergeben, sondern auch aus vorausgehenden und nachfolgenden Umständen. Zu solchen der Tat vorangehenden Umständen zählen Umsicht und Hartnäckigkeit bei der Verfolgung der räuberischen Absicht.</w:t>
      </w:r>
    </w:p>
    <w:p>
      <w:pPr>
        <w:pStyle w:val="Heading2"/>
      </w:pPr>
      <w:r>
        <w:t>Erwägungen</w:t>
      </w:r>
    </w:p>
    <w:p>
      <w:r>
        <w:rPr>
          <w:b/>
        </w:rPr>
        <w:t>E. 1</w:t>
      </w:r>
    </w:p>
    <w:p>
      <w:r>
        <w:t>Nach Art. 139 Ziff. 2 StGB macht sich des qualifizierten Raubes u.a. schuldig, wer in der Absicht, einen Diebstahl zu begehen, jemanden mit dem Tode bedroht (Abs. 2) oder auf andere Weise seine besondere Gefährlichkeit offenbart (Abs. 4). Die Staatsanwaltschaft verlangt Bestrafung der Angeklagten nach beiden Absätzen. Ob Abs. 2 gegeben sei, kann jedoch offen bleiben, da in jedem Fall Abs. 4 erfüllt ist ( BGE 73 IV 19 ). Die besondere Gefährlichkeit des Täters kann sich nicht nur aus den Umständen ergeben, unter denen der Raub begangen wurde. Vorausgehende und nachfolgende Umstände fallen ebenfalls in Betracht ( BGE 88 IV 61 E 1, BGE 87 IV 115 , BGE 77 IV 158 /59; Urteil Morgenthaler vom 12. Juli 1973). Zu solchen der Tat vorangehenden Umständen zählen Umsicht und Beharrlichkeit, Hartnäckigkeit bei der Verfolgung der räuberischen Absicht ( BGE 73 IV 20 ; vgl. BGE 83 IV 145 b). Die Angeklagten haben drei Postbüros ausgekundschaftet: Killwangen, Stalden und Neuenhof. Die Post Killwangen "bearbeiteten" sie während zwei Tagen, sie betraten sie zweimal und fuhren nicht weniger als sechs- bis siebenmal daran vorbei, bevor der Überfall gelang. Am Nachmittag des ersten Tages durchquerten sie die halbe Schweiz, um in Biel und Lyss Geld zu rauben. In Lyss lauerten sie dem Drogisten auf, forschten in mehreren Wirtschaften und zuhause telefonisch nach ihm und suchten schliesslich seine Wohnung auf, wo sie mehrmals läuteten. Diese verbrecherische Zielstrebigkeit, ja Verbissenheit lässt die Angeklagten als gesinnungsmässig besonders gefährliche Räuber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